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BBB" w14:textId="7AC13C69" w:rsidR="00A670ED" w:rsidRPr="00187771" w:rsidRDefault="00693EB5" w:rsidP="00A670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DADOS DE INFLAÇÃO TRAZEM ALÍVIO PARA O BRASIL EM MEIO A GUERRA COMERCIAL</w:t>
      </w:r>
      <w:r w:rsidR="00A670ED">
        <w:rPr>
          <w:b/>
          <w:sz w:val="24"/>
          <w:szCs w:val="24"/>
        </w:rPr>
        <w:t>, AVALIA FECOMÉRCIO</w:t>
      </w:r>
      <w:r w:rsidR="008B5483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BA.</w:t>
      </w:r>
    </w:p>
    <w:p w14:paraId="5BC1EB37" w14:textId="3FDCD4D1" w:rsidR="00A670ED" w:rsidRPr="00712B79" w:rsidRDefault="00693EB5" w:rsidP="00A670ED">
      <w:pPr>
        <w:spacing w:before="240" w:after="24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Preços ficaram estáveis em julho e alimentos recuaram -0,56%. </w:t>
      </w:r>
    </w:p>
    <w:p w14:paraId="019AE6E4" w14:textId="30011546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 xml:space="preserve">Os dados da inflação na região metropolitana de Salvador têm surpreendido positivamente nos últimos meses, aliviando um pouco o cenário para a economia </w:t>
      </w:r>
      <w:r>
        <w:rPr>
          <w:sz w:val="24"/>
          <w:szCs w:val="24"/>
        </w:rPr>
        <w:t>baiana</w:t>
      </w:r>
      <w:r w:rsidRPr="000D25BD">
        <w:rPr>
          <w:sz w:val="24"/>
          <w:szCs w:val="24"/>
        </w:rPr>
        <w:t xml:space="preserve"> diante da guerra comercial com os Estados Unidos. Segundo o IBGE, os preços médios de produtos e serviços permaneceram praticamente estáveis, com variação de 0,02% em julho e acumulando 5,06% nos últimos 12 meses.</w:t>
      </w:r>
    </w:p>
    <w:p w14:paraId="2E9858E6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O grupo que mais colaborou para a desaceleração dos preços foi o de alimentação e bebidas, que representa 23% do índice geral e registrou deflação de -0,56%. As maiores quedas foram observadas na manga (-22,60%), no maracujá (-21,95%) e na cebola (-15,57%). Outros itens importantes na mesa do brasileiro também seguiram a tendência de baixa, como o feijão-rajado (-4,24%) e o arroz (-2,5%). O café moído, que vinha resistindo, apresentou recuo de -0,30% em julho.</w:t>
      </w:r>
    </w:p>
    <w:p w14:paraId="25973F82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A redução nos preços médios dos combustíveis — gasolina (-3,86%) e etanol (-4,58%) — foi essencial para a queda de -0,44% no grupo transportes. A situação só não foi mais positiva devido ao aumento das passagens aéreas (21,27%), esperado para o período de férias escolares, mas que não deve manter a pressão nos próximos meses.</w:t>
      </w:r>
    </w:p>
    <w:p w14:paraId="366C15F0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O grupo vestuário também contribuiu para uma inflação mais baixa em Salvador, com retração mensal de -0,71%. Outras variações negativas foram registradas nos grupos artigos de residência (-0,52%) e comunicação (-0,12%). Por terem peso relativamente pequeno no índice geral, o impacto foi quase nulo.</w:t>
      </w:r>
    </w:p>
    <w:p w14:paraId="6B9260C1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 xml:space="preserve">Por outro lado, o destaque negativo foi o grupo despesas pessoais, que registrou alta de 1,19%. O principal fator foi o reajuste no valor da aposta da Mega-Sena, que passou de R$ 5 para R$ 6, gerando aumento médio de 11,17% nos jogos de azar. Trata-se, porém, de uma pressão pontual e não permanente, que não preocupa na </w:t>
      </w:r>
      <w:r w:rsidRPr="000D25BD">
        <w:rPr>
          <w:sz w:val="24"/>
          <w:szCs w:val="24"/>
        </w:rPr>
        <w:lastRenderedPageBreak/>
        <w:t>avaliação da inflação. Além disso, as hospedagens ficaram 2,46% mais caras, também influenciadas pelas férias.</w:t>
      </w:r>
    </w:p>
    <w:p w14:paraId="6996B60F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O grupo saúde e cuidados pessoais teve elevação de 0,65% em julho, puxada principalmente por produtos de higiene e beleza, como desodorante (3,32%), produtos para pele (2,50%) e artigos de maquiagem (2,14%).</w:t>
      </w:r>
      <w:r w:rsidRPr="000D25BD">
        <w:rPr>
          <w:sz w:val="24"/>
          <w:szCs w:val="24"/>
        </w:rPr>
        <w:br/>
        <w:t>Já a alta no preço médio da energia elétrica residencial (2,08%) contribuiu para que o grupo habitação registrasse aumento de 0,47% no mês. O grupo educação apresentou elevação de 0,08%.</w:t>
      </w:r>
    </w:p>
    <w:p w14:paraId="55D357A8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Apesar de alguns aumentos mais expressivos, a avaliação da Fecomércio BA é de que são casos pontuais e não estruturais. Por outro lado, observa-se uma tendência positiva para os preços dos alimentos nos próximos meses, o que deve reduzir a pressão inflacionária e possibilitar que o acumulado retorne mais rapidamente ao patamar abaixo de 5%.</w:t>
      </w:r>
    </w:p>
    <w:p w14:paraId="27D6ABB0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Naturalmente, uma eventual intensificação da guerra comercial poderia comprometer esse cenário favorável, mas, no momento, os dados apontam para melhora no poder de compra das famílias e manutenção do consumo no varejo em nível positivo, mesmo com juros elevados.</w:t>
      </w:r>
    </w:p>
    <w:p w14:paraId="718548BD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Outro fator importante é que, com o tarifaço, o dólar tem perdido valor em relação à cesta de moedas no mundo, enquanto o real se fortalece, favorecido pela alta taxa de juros. Essa valorização contribui para reduzir a taxa de câmbio e, consequentemente, conter ainda mais a inflação no Brasil.</w:t>
      </w:r>
    </w:p>
    <w:p w14:paraId="214477A5" w14:textId="77777777" w:rsidR="000D25BD" w:rsidRPr="000D25BD" w:rsidRDefault="000D25BD" w:rsidP="000D25BD">
      <w:pPr>
        <w:spacing w:after="240" w:line="276" w:lineRule="auto"/>
        <w:jc w:val="both"/>
        <w:rPr>
          <w:sz w:val="24"/>
          <w:szCs w:val="24"/>
        </w:rPr>
      </w:pPr>
      <w:r w:rsidRPr="000D25BD">
        <w:rPr>
          <w:sz w:val="24"/>
          <w:szCs w:val="24"/>
        </w:rPr>
        <w:t>Assim, a inflação na região metropolitana de Salvador vem se mostrando melhor do que o esperado, ajudando de forma expressiva a economia local, mas ainda requer atenção diante dos possíveis reflexos das tensões comerciais globais.</w:t>
      </w:r>
    </w:p>
    <w:p w14:paraId="36EF0828" w14:textId="77777777" w:rsidR="000319B2" w:rsidRDefault="000319B2" w:rsidP="00A670ED">
      <w:pPr>
        <w:spacing w:after="240" w:line="276" w:lineRule="auto"/>
        <w:jc w:val="both"/>
        <w:rPr>
          <w:sz w:val="24"/>
          <w:szCs w:val="24"/>
        </w:rPr>
      </w:pPr>
    </w:p>
    <w:p w14:paraId="040C1242" w14:textId="77777777" w:rsidR="004C204D" w:rsidRPr="00A258A7" w:rsidRDefault="004C204D" w:rsidP="00A670ED">
      <w:pPr>
        <w:spacing w:after="240" w:line="276" w:lineRule="auto"/>
        <w:jc w:val="both"/>
        <w:rPr>
          <w:sz w:val="24"/>
          <w:szCs w:val="24"/>
        </w:rPr>
      </w:pPr>
    </w:p>
    <w:p w14:paraId="7C40FD71" w14:textId="5CE70706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</w:p>
    <w:p w14:paraId="6447D029" w14:textId="69450E8E" w:rsidR="00A670ED" w:rsidRDefault="00693EB5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</w:pPr>
      <w:r w:rsidRPr="00693EB5">
        <w:drawing>
          <wp:inline distT="0" distB="0" distL="0" distR="0" wp14:anchorId="25C8FA63" wp14:editId="1361D5FC">
            <wp:extent cx="5400040" cy="2519680"/>
            <wp:effectExtent l="0" t="0" r="0" b="0"/>
            <wp:docPr id="181120995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9554" w14:textId="46875CBB" w:rsidR="00A670ED" w:rsidRDefault="00693EB5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drawing>
          <wp:inline distT="0" distB="0" distL="0" distR="0" wp14:anchorId="5AA31D7B" wp14:editId="18CB339A">
            <wp:extent cx="5047615" cy="2743200"/>
            <wp:effectExtent l="0" t="0" r="635" b="0"/>
            <wp:docPr id="159876171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28897" w14:textId="77777777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</w:p>
    <w:p w14:paraId="1BEB3891" w14:textId="4C0DF410" w:rsidR="00B8063E" w:rsidRPr="004B00E5" w:rsidRDefault="00B8063E" w:rsidP="004B00E5">
      <w:pPr>
        <w:autoSpaceDE w:val="0"/>
        <w:autoSpaceDN w:val="0"/>
        <w:adjustRightInd w:val="0"/>
        <w:spacing w:before="120" w:after="120" w:line="240" w:lineRule="auto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541F" w14:textId="77777777" w:rsidR="00004A21" w:rsidRDefault="00004A21" w:rsidP="0070792E">
      <w:pPr>
        <w:spacing w:line="240" w:lineRule="auto"/>
      </w:pPr>
      <w:r>
        <w:separator/>
      </w:r>
    </w:p>
  </w:endnote>
  <w:endnote w:type="continuationSeparator" w:id="0">
    <w:p w14:paraId="48730A4B" w14:textId="77777777" w:rsidR="00004A21" w:rsidRDefault="00004A21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33EF" w14:textId="77777777" w:rsidR="00004A21" w:rsidRDefault="00004A21" w:rsidP="0070792E">
      <w:pPr>
        <w:spacing w:line="240" w:lineRule="auto"/>
      </w:pPr>
      <w:r>
        <w:separator/>
      </w:r>
    </w:p>
  </w:footnote>
  <w:footnote w:type="continuationSeparator" w:id="0">
    <w:p w14:paraId="0A9EF84E" w14:textId="77777777" w:rsidR="00004A21" w:rsidRDefault="00004A21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4A21"/>
    <w:rsid w:val="00004DD0"/>
    <w:rsid w:val="000261AD"/>
    <w:rsid w:val="000319B2"/>
    <w:rsid w:val="000324EA"/>
    <w:rsid w:val="00064ABD"/>
    <w:rsid w:val="00082B6F"/>
    <w:rsid w:val="00094419"/>
    <w:rsid w:val="000966D9"/>
    <w:rsid w:val="000A3DC3"/>
    <w:rsid w:val="000D25BD"/>
    <w:rsid w:val="000E7D49"/>
    <w:rsid w:val="000F4E5F"/>
    <w:rsid w:val="000F5EF2"/>
    <w:rsid w:val="00107333"/>
    <w:rsid w:val="001154D6"/>
    <w:rsid w:val="001325F6"/>
    <w:rsid w:val="00151198"/>
    <w:rsid w:val="00166598"/>
    <w:rsid w:val="00166D16"/>
    <w:rsid w:val="00172E61"/>
    <w:rsid w:val="00183B72"/>
    <w:rsid w:val="001857A9"/>
    <w:rsid w:val="001944B1"/>
    <w:rsid w:val="001968F5"/>
    <w:rsid w:val="001A108C"/>
    <w:rsid w:val="001A6CE7"/>
    <w:rsid w:val="001F2EDE"/>
    <w:rsid w:val="001F7400"/>
    <w:rsid w:val="00201FDE"/>
    <w:rsid w:val="00220618"/>
    <w:rsid w:val="00231DAA"/>
    <w:rsid w:val="0025092B"/>
    <w:rsid w:val="002565F6"/>
    <w:rsid w:val="00265F95"/>
    <w:rsid w:val="002B724F"/>
    <w:rsid w:val="002C5AA5"/>
    <w:rsid w:val="002C5BFB"/>
    <w:rsid w:val="002F7F2F"/>
    <w:rsid w:val="00305BCE"/>
    <w:rsid w:val="00313129"/>
    <w:rsid w:val="0032099F"/>
    <w:rsid w:val="00333516"/>
    <w:rsid w:val="003368F4"/>
    <w:rsid w:val="00374FA3"/>
    <w:rsid w:val="00376085"/>
    <w:rsid w:val="00380FE4"/>
    <w:rsid w:val="003A2193"/>
    <w:rsid w:val="003A44A8"/>
    <w:rsid w:val="003B7097"/>
    <w:rsid w:val="004039F5"/>
    <w:rsid w:val="00406279"/>
    <w:rsid w:val="004152B5"/>
    <w:rsid w:val="00467308"/>
    <w:rsid w:val="00487CB1"/>
    <w:rsid w:val="004A0DBF"/>
    <w:rsid w:val="004B00E5"/>
    <w:rsid w:val="004C204D"/>
    <w:rsid w:val="004F239A"/>
    <w:rsid w:val="004F3C38"/>
    <w:rsid w:val="0050144D"/>
    <w:rsid w:val="005274C2"/>
    <w:rsid w:val="00534DDB"/>
    <w:rsid w:val="00535EDF"/>
    <w:rsid w:val="0054367C"/>
    <w:rsid w:val="00554862"/>
    <w:rsid w:val="00561CFE"/>
    <w:rsid w:val="00595592"/>
    <w:rsid w:val="00644EA1"/>
    <w:rsid w:val="006544AF"/>
    <w:rsid w:val="00664B52"/>
    <w:rsid w:val="00674EF5"/>
    <w:rsid w:val="00690D36"/>
    <w:rsid w:val="00693EB5"/>
    <w:rsid w:val="006A11FC"/>
    <w:rsid w:val="006A4721"/>
    <w:rsid w:val="006B4406"/>
    <w:rsid w:val="006C3667"/>
    <w:rsid w:val="006C494C"/>
    <w:rsid w:val="006D6FA9"/>
    <w:rsid w:val="006F426B"/>
    <w:rsid w:val="006F74D8"/>
    <w:rsid w:val="0070792E"/>
    <w:rsid w:val="00712B79"/>
    <w:rsid w:val="007273E3"/>
    <w:rsid w:val="00727E55"/>
    <w:rsid w:val="007812B5"/>
    <w:rsid w:val="00797EE0"/>
    <w:rsid w:val="007F15FC"/>
    <w:rsid w:val="0081182B"/>
    <w:rsid w:val="008220C9"/>
    <w:rsid w:val="00870DE4"/>
    <w:rsid w:val="00897D78"/>
    <w:rsid w:val="008B5483"/>
    <w:rsid w:val="008D171D"/>
    <w:rsid w:val="008E09B1"/>
    <w:rsid w:val="008E31CF"/>
    <w:rsid w:val="00926634"/>
    <w:rsid w:val="00933CC0"/>
    <w:rsid w:val="0094417E"/>
    <w:rsid w:val="009502AA"/>
    <w:rsid w:val="0098557B"/>
    <w:rsid w:val="009A3E72"/>
    <w:rsid w:val="009A748A"/>
    <w:rsid w:val="009D1618"/>
    <w:rsid w:val="00A16058"/>
    <w:rsid w:val="00A179BF"/>
    <w:rsid w:val="00A409A2"/>
    <w:rsid w:val="00A43F9A"/>
    <w:rsid w:val="00A670ED"/>
    <w:rsid w:val="00A75612"/>
    <w:rsid w:val="00A820E8"/>
    <w:rsid w:val="00AB248B"/>
    <w:rsid w:val="00AC63B2"/>
    <w:rsid w:val="00AE0A06"/>
    <w:rsid w:val="00B26562"/>
    <w:rsid w:val="00B44BC9"/>
    <w:rsid w:val="00B4615E"/>
    <w:rsid w:val="00B5196F"/>
    <w:rsid w:val="00B6028A"/>
    <w:rsid w:val="00B773E4"/>
    <w:rsid w:val="00B8063E"/>
    <w:rsid w:val="00B9277A"/>
    <w:rsid w:val="00BA0364"/>
    <w:rsid w:val="00BA42CC"/>
    <w:rsid w:val="00BE766B"/>
    <w:rsid w:val="00C00FC6"/>
    <w:rsid w:val="00C51559"/>
    <w:rsid w:val="00C57464"/>
    <w:rsid w:val="00C66C8F"/>
    <w:rsid w:val="00CA344F"/>
    <w:rsid w:val="00CC6459"/>
    <w:rsid w:val="00CE019A"/>
    <w:rsid w:val="00D1160A"/>
    <w:rsid w:val="00D25D51"/>
    <w:rsid w:val="00D410B8"/>
    <w:rsid w:val="00D53FBE"/>
    <w:rsid w:val="00D753B4"/>
    <w:rsid w:val="00D91815"/>
    <w:rsid w:val="00DD2867"/>
    <w:rsid w:val="00DD6024"/>
    <w:rsid w:val="00DE70BD"/>
    <w:rsid w:val="00E0323B"/>
    <w:rsid w:val="00E04BF2"/>
    <w:rsid w:val="00E12566"/>
    <w:rsid w:val="00E40B6B"/>
    <w:rsid w:val="00EA75CD"/>
    <w:rsid w:val="00EB3165"/>
    <w:rsid w:val="00ED230E"/>
    <w:rsid w:val="00ED31A9"/>
    <w:rsid w:val="00EE07AF"/>
    <w:rsid w:val="00F04FEB"/>
    <w:rsid w:val="00F54E21"/>
    <w:rsid w:val="00F63966"/>
    <w:rsid w:val="00F676C3"/>
    <w:rsid w:val="00F8603C"/>
    <w:rsid w:val="00FB5AAB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29</cp:revision>
  <dcterms:created xsi:type="dcterms:W3CDTF">2025-02-19T18:55:00Z</dcterms:created>
  <dcterms:modified xsi:type="dcterms:W3CDTF">2025-08-12T15:34:00Z</dcterms:modified>
</cp:coreProperties>
</file>