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BBB" w14:textId="69392BBC" w:rsidR="00A670ED" w:rsidRPr="00187771" w:rsidRDefault="004C2E8B" w:rsidP="00A670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INFLAÇÃO DE SETEMBRO ALIMENTA AS EXPECTATIVAS PARA COMPRAS DE FINAL DE ANO</w:t>
      </w:r>
      <w:r w:rsidR="00A670ED">
        <w:rPr>
          <w:b/>
          <w:sz w:val="24"/>
          <w:szCs w:val="24"/>
        </w:rPr>
        <w:t>, AVALIA FECOMÉRCIO</w:t>
      </w:r>
      <w:r w:rsidR="008B5483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BA.</w:t>
      </w:r>
    </w:p>
    <w:p w14:paraId="5BC1EB37" w14:textId="74546A14" w:rsidR="00A670ED" w:rsidRPr="00712B79" w:rsidRDefault="004C2E8B" w:rsidP="00A670ED">
      <w:pPr>
        <w:spacing w:before="240" w:after="24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Preços de produtos e serviços em Salvador variam 0,17% no mês e acumulam alta de 4,83% em 12 meses.</w:t>
      </w:r>
    </w:p>
    <w:p w14:paraId="416ACED7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t>Os dados da inflação de setembro na região metropolitana de Salvador vieram bastante positivos. Segundo divulgação do IBGE, os preços de produtos e serviços registraram um avanço médio de 0,17% e acumulam 4,83% nos últimos 12 meses. Embora a variação tenha sido superior à do mês anterior, de -0,08%, o cenário ainda é de baixa pressão sobre os preços.</w:t>
      </w:r>
    </w:p>
    <w:p w14:paraId="398DDC55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t>O grupo habitação foi o principal responsável pela inflação no período, com alta de 2,15%. O movimento já era esperado, conforme o “efeito mola” apontado pela Fecomércio-BA no relatório anterior. Em agosto, o bônus de Itaipu reduziu o preço da energia elétrica; em setembro, com a recomposição para o valor original, houve um aumento de 7,13%. Trata-se, portanto, de um ajuste pontual, sem expectativa de continuidade dessa pressão nos próximos meses. Vale destacar que, se o grupo habitação fosse expurgado do cálculo mensal, haveria uma deflação de -0,14%.</w:t>
      </w:r>
    </w:p>
    <w:p w14:paraId="124A74A2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t>O grupo alimentação e bebidas foi o grande destaque positivo, com queda de -0,56%, contribuindo com -0,13 ponto percentual para o índice geral. Produtos importantes da mesa do soteropolitano ficaram mais baratos, como tomate (-20,08%), cebola (-17,96%) e alho (-12,74%). Também houve retração nos preços do feijão-mulatinho (-7,15%), pescados (-2,96%) e frango inteiro (-2,44%), ampliando o leque de opções para o consumidor, que encontra preços mais vantajosos.</w:t>
      </w:r>
    </w:p>
    <w:p w14:paraId="4D6936D4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t>O grupo transportes apresentou recuo de -0,32%, puxado principalmente pelos serviços: seguro voluntário de veículo (-6,36%) e passagens aéreas (-2,68%). Os combustíveis continuam sem exercer pressão significativa, com variações discretas na gasolina (-0,27%) e no etanol (0,16%). Não há perspectivas de mudanças no curto prazo, exceto por pressões pontuais esperadas na alta temporada do turismo, em dezembro e janeiro.</w:t>
      </w:r>
    </w:p>
    <w:p w14:paraId="586943E6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lastRenderedPageBreak/>
        <w:t>Os artigos de residência ficaram -0,61% mais baratos em relação ao mês anterior, com impacto de -0,02 ponto percentual no índice geral. Os eletroeletrônicos tiveram destaque, como televisores (-2,73%) e refrigeradores (-2,70%). A acomodação do câmbio tem reduzido custos de insumos, o que se reflete em preços mais baixos ao consumidor.</w:t>
      </w:r>
    </w:p>
    <w:p w14:paraId="595EA313" w14:textId="77777777" w:rsidR="00EA2B0C" w:rsidRPr="00EA2B0C" w:rsidRDefault="00EA2B0C" w:rsidP="00EA2B0C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EA2B0C">
        <w:rPr>
          <w:color w:val="000000" w:themeColor="text1"/>
          <w:sz w:val="24"/>
          <w:szCs w:val="24"/>
        </w:rPr>
        <w:t>O grupo comunicação variou -0,32%, enquanto saúde e cuidados pessoais ficou praticamente estável (-0,01%). Entre as altas, além de habitação, destaca-se vestuário, com elevação de 1,17%, contribuindo com 0,06 ponto percentual para o índice geral. A tendência de alta foi observada em diversos itens, como vestido infantil (3,33%), calça comprida feminina (2,69%) e sandália (2,72%). Houve ainda aumentos nos grupos despesas pessoais (0,19%) e educação (0,07%).</w:t>
      </w:r>
    </w:p>
    <w:p w14:paraId="7C40FD71" w14:textId="2C1132FC" w:rsidR="00A670ED" w:rsidRDefault="00EA2B0C" w:rsidP="0041157D">
      <w:pPr>
        <w:spacing w:after="240" w:line="276" w:lineRule="auto"/>
        <w:jc w:val="both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 w:rsidRPr="00EA2B0C">
        <w:rPr>
          <w:color w:val="000000" w:themeColor="text1"/>
          <w:sz w:val="24"/>
          <w:szCs w:val="24"/>
        </w:rPr>
        <w:t>A inflação mais baixa reforça as expectativas de melhora no consumo no final do ano. Com o mercado de trabalho aquecido, as famílias vêm recompondo sua renda, quitando dívidas passadas e retomando o consumo de forma mais sustentável. Como esse processo deve se manter no curto prazo, a tendência é que as famílias cheguem ao fim do ano com maior poder de compra, impulsionando o ritmo de vendas no varejo.</w:t>
      </w:r>
    </w:p>
    <w:p w14:paraId="6447D029" w14:textId="6E6CAD1D" w:rsidR="00A670ED" w:rsidRDefault="004C2E8B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</w:pPr>
      <w:r w:rsidRPr="004C2E8B">
        <w:drawing>
          <wp:inline distT="0" distB="0" distL="0" distR="0" wp14:anchorId="328F2D20" wp14:editId="4A7443FC">
            <wp:extent cx="5491219" cy="2562225"/>
            <wp:effectExtent l="0" t="0" r="0" b="0"/>
            <wp:docPr id="76125879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136" cy="256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9554" w14:textId="3F4C665A" w:rsidR="00A670ED" w:rsidRDefault="004C2E8B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lastRenderedPageBreak/>
        <w:drawing>
          <wp:inline distT="0" distB="0" distL="0" distR="0" wp14:anchorId="0A47D6E5" wp14:editId="61E8E956">
            <wp:extent cx="5047615" cy="2743200"/>
            <wp:effectExtent l="0" t="0" r="635" b="0"/>
            <wp:docPr id="75632168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28897" w14:textId="77777777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</w:p>
    <w:p w14:paraId="1BEB3891" w14:textId="4C0DF410" w:rsidR="00B8063E" w:rsidRPr="004B00E5" w:rsidRDefault="00B8063E" w:rsidP="004B00E5">
      <w:pPr>
        <w:autoSpaceDE w:val="0"/>
        <w:autoSpaceDN w:val="0"/>
        <w:adjustRightInd w:val="0"/>
        <w:spacing w:before="120" w:after="120" w:line="240" w:lineRule="auto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0D5C" w14:textId="77777777" w:rsidR="00E76500" w:rsidRDefault="00E76500" w:rsidP="0070792E">
      <w:pPr>
        <w:spacing w:line="240" w:lineRule="auto"/>
      </w:pPr>
      <w:r>
        <w:separator/>
      </w:r>
    </w:p>
  </w:endnote>
  <w:endnote w:type="continuationSeparator" w:id="0">
    <w:p w14:paraId="7811E256" w14:textId="77777777" w:rsidR="00E76500" w:rsidRDefault="00E76500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1D47" w14:textId="77777777" w:rsidR="00E76500" w:rsidRDefault="00E76500" w:rsidP="0070792E">
      <w:pPr>
        <w:spacing w:line="240" w:lineRule="auto"/>
      </w:pPr>
      <w:r>
        <w:separator/>
      </w:r>
    </w:p>
  </w:footnote>
  <w:footnote w:type="continuationSeparator" w:id="0">
    <w:p w14:paraId="6E8D88F6" w14:textId="77777777" w:rsidR="00E76500" w:rsidRDefault="00E76500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4A21"/>
    <w:rsid w:val="00004DD0"/>
    <w:rsid w:val="000261AD"/>
    <w:rsid w:val="000319B2"/>
    <w:rsid w:val="000324EA"/>
    <w:rsid w:val="00064ABD"/>
    <w:rsid w:val="00082B6F"/>
    <w:rsid w:val="00094419"/>
    <w:rsid w:val="000966D9"/>
    <w:rsid w:val="000A3DC3"/>
    <w:rsid w:val="000D25BD"/>
    <w:rsid w:val="000E7D49"/>
    <w:rsid w:val="000F4E5F"/>
    <w:rsid w:val="000F5EF2"/>
    <w:rsid w:val="00107333"/>
    <w:rsid w:val="001154D6"/>
    <w:rsid w:val="00124D23"/>
    <w:rsid w:val="001325F6"/>
    <w:rsid w:val="00151198"/>
    <w:rsid w:val="001573C6"/>
    <w:rsid w:val="00166598"/>
    <w:rsid w:val="00166D16"/>
    <w:rsid w:val="00172E61"/>
    <w:rsid w:val="00183B72"/>
    <w:rsid w:val="001857A9"/>
    <w:rsid w:val="001944B1"/>
    <w:rsid w:val="001968F5"/>
    <w:rsid w:val="001A108C"/>
    <w:rsid w:val="001A6CE7"/>
    <w:rsid w:val="001F2EDE"/>
    <w:rsid w:val="001F7400"/>
    <w:rsid w:val="00201FDE"/>
    <w:rsid w:val="00220618"/>
    <w:rsid w:val="00231DAA"/>
    <w:rsid w:val="0025092B"/>
    <w:rsid w:val="002565F6"/>
    <w:rsid w:val="00265F95"/>
    <w:rsid w:val="002B724F"/>
    <w:rsid w:val="002C5AA5"/>
    <w:rsid w:val="002C5BFB"/>
    <w:rsid w:val="002F7F2F"/>
    <w:rsid w:val="003031FF"/>
    <w:rsid w:val="00305BCE"/>
    <w:rsid w:val="00313129"/>
    <w:rsid w:val="0032099F"/>
    <w:rsid w:val="00333516"/>
    <w:rsid w:val="003368F4"/>
    <w:rsid w:val="00374FA3"/>
    <w:rsid w:val="00376085"/>
    <w:rsid w:val="00380FE4"/>
    <w:rsid w:val="003A2193"/>
    <w:rsid w:val="003A44A8"/>
    <w:rsid w:val="003A5CBC"/>
    <w:rsid w:val="003B7097"/>
    <w:rsid w:val="004039F5"/>
    <w:rsid w:val="00406279"/>
    <w:rsid w:val="0041157D"/>
    <w:rsid w:val="004152B5"/>
    <w:rsid w:val="00467308"/>
    <w:rsid w:val="00487CB1"/>
    <w:rsid w:val="004A0DBF"/>
    <w:rsid w:val="004B00E5"/>
    <w:rsid w:val="004C204D"/>
    <w:rsid w:val="004C2E8B"/>
    <w:rsid w:val="004F239A"/>
    <w:rsid w:val="004F3C38"/>
    <w:rsid w:val="0050144D"/>
    <w:rsid w:val="005274C2"/>
    <w:rsid w:val="00534DDB"/>
    <w:rsid w:val="00535EDF"/>
    <w:rsid w:val="0054367C"/>
    <w:rsid w:val="00554862"/>
    <w:rsid w:val="00561CFE"/>
    <w:rsid w:val="00595592"/>
    <w:rsid w:val="00644EA1"/>
    <w:rsid w:val="006544AF"/>
    <w:rsid w:val="00664B52"/>
    <w:rsid w:val="00674EF5"/>
    <w:rsid w:val="00690D36"/>
    <w:rsid w:val="00693EB5"/>
    <w:rsid w:val="006A11FC"/>
    <w:rsid w:val="006A4721"/>
    <w:rsid w:val="006B4406"/>
    <w:rsid w:val="006C3667"/>
    <w:rsid w:val="006C494C"/>
    <w:rsid w:val="006D6FA9"/>
    <w:rsid w:val="006F426B"/>
    <w:rsid w:val="006F74D8"/>
    <w:rsid w:val="0070792E"/>
    <w:rsid w:val="00712B79"/>
    <w:rsid w:val="007273E3"/>
    <w:rsid w:val="00727E55"/>
    <w:rsid w:val="007812B5"/>
    <w:rsid w:val="00797EE0"/>
    <w:rsid w:val="007F15FC"/>
    <w:rsid w:val="0081182B"/>
    <w:rsid w:val="008220C9"/>
    <w:rsid w:val="00870DE4"/>
    <w:rsid w:val="00897D78"/>
    <w:rsid w:val="008B5483"/>
    <w:rsid w:val="008D171D"/>
    <w:rsid w:val="008E09B1"/>
    <w:rsid w:val="008E31CF"/>
    <w:rsid w:val="00922901"/>
    <w:rsid w:val="00926634"/>
    <w:rsid w:val="00933CC0"/>
    <w:rsid w:val="0094417E"/>
    <w:rsid w:val="009502AA"/>
    <w:rsid w:val="0098557B"/>
    <w:rsid w:val="009A3E72"/>
    <w:rsid w:val="009A748A"/>
    <w:rsid w:val="009D1618"/>
    <w:rsid w:val="00A16058"/>
    <w:rsid w:val="00A179BF"/>
    <w:rsid w:val="00A409A2"/>
    <w:rsid w:val="00A43F9A"/>
    <w:rsid w:val="00A670ED"/>
    <w:rsid w:val="00A75612"/>
    <w:rsid w:val="00A820E8"/>
    <w:rsid w:val="00AB248B"/>
    <w:rsid w:val="00AC63B2"/>
    <w:rsid w:val="00AE072B"/>
    <w:rsid w:val="00AE0A06"/>
    <w:rsid w:val="00B26562"/>
    <w:rsid w:val="00B44374"/>
    <w:rsid w:val="00B44BC9"/>
    <w:rsid w:val="00B4615E"/>
    <w:rsid w:val="00B5196F"/>
    <w:rsid w:val="00B6028A"/>
    <w:rsid w:val="00B76D95"/>
    <w:rsid w:val="00B773E4"/>
    <w:rsid w:val="00B8063E"/>
    <w:rsid w:val="00B9277A"/>
    <w:rsid w:val="00BA0364"/>
    <w:rsid w:val="00BA42CC"/>
    <w:rsid w:val="00BB0BA7"/>
    <w:rsid w:val="00BE63DC"/>
    <w:rsid w:val="00BE766B"/>
    <w:rsid w:val="00BF16BA"/>
    <w:rsid w:val="00C00FC6"/>
    <w:rsid w:val="00C51559"/>
    <w:rsid w:val="00C57464"/>
    <w:rsid w:val="00C66C8F"/>
    <w:rsid w:val="00CA344F"/>
    <w:rsid w:val="00CB0AA9"/>
    <w:rsid w:val="00CC6459"/>
    <w:rsid w:val="00CD3903"/>
    <w:rsid w:val="00CE019A"/>
    <w:rsid w:val="00D1160A"/>
    <w:rsid w:val="00D25D51"/>
    <w:rsid w:val="00D410B8"/>
    <w:rsid w:val="00D53FBE"/>
    <w:rsid w:val="00D5457E"/>
    <w:rsid w:val="00D753B4"/>
    <w:rsid w:val="00D91815"/>
    <w:rsid w:val="00DB1CD3"/>
    <w:rsid w:val="00DD2867"/>
    <w:rsid w:val="00DD6024"/>
    <w:rsid w:val="00DE70BD"/>
    <w:rsid w:val="00E0323B"/>
    <w:rsid w:val="00E04BF2"/>
    <w:rsid w:val="00E12566"/>
    <w:rsid w:val="00E40B6B"/>
    <w:rsid w:val="00E76500"/>
    <w:rsid w:val="00EA2B0C"/>
    <w:rsid w:val="00EA6B4A"/>
    <w:rsid w:val="00EA75CD"/>
    <w:rsid w:val="00EB3165"/>
    <w:rsid w:val="00ED230E"/>
    <w:rsid w:val="00ED31A9"/>
    <w:rsid w:val="00EE07AF"/>
    <w:rsid w:val="00EF1B7A"/>
    <w:rsid w:val="00F04FEB"/>
    <w:rsid w:val="00F54E21"/>
    <w:rsid w:val="00F63966"/>
    <w:rsid w:val="00F676C3"/>
    <w:rsid w:val="00F8603C"/>
    <w:rsid w:val="00FB5AAB"/>
    <w:rsid w:val="00FF36F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43</cp:revision>
  <dcterms:created xsi:type="dcterms:W3CDTF">2025-02-19T18:55:00Z</dcterms:created>
  <dcterms:modified xsi:type="dcterms:W3CDTF">2025-10-09T19:14:00Z</dcterms:modified>
</cp:coreProperties>
</file>