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6618" w14:textId="563847F2" w:rsidR="00CE593E" w:rsidRPr="00B65611" w:rsidRDefault="00A6553C" w:rsidP="00CE593E">
      <w:pPr>
        <w:spacing w:after="240"/>
        <w:jc w:val="cente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CONFIANÇA DO EMPRESÁRIO </w:t>
      </w:r>
      <w:r w:rsidR="006C76CE">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SOBE 4% E VAI AO MAIOR NÍVEL DESDE JANEIRO DESTE ANO</w:t>
      </w:r>
      <w:r w:rsidR="00ED74EF">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CE593E">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APONTA</w:t>
      </w:r>
      <w:r w:rsidR="00CE593E" w:rsidRPr="00E01AA2">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FECO</w:t>
      </w:r>
      <w:r w:rsidR="00CE593E" w:rsidRPr="00B65611">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w:t>
      </w:r>
      <w:r w:rsidR="00CE593E">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É</w:t>
      </w:r>
      <w:r w:rsidR="00CE593E" w:rsidRPr="00B65611">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RCIO</w:t>
      </w:r>
      <w:r w:rsidR="00CE593E">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CE593E" w:rsidRPr="00B65611">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BA</w:t>
      </w:r>
    </w:p>
    <w:p w14:paraId="2FE08820" w14:textId="1F0ED10D" w:rsidR="00CE593E" w:rsidRPr="007D09FE" w:rsidRDefault="006C76CE" w:rsidP="00CE593E">
      <w:pPr>
        <w:spacing w:after="240"/>
        <w:jc w:val="cente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Chegada do período festivo anima os empresários e é um importante termômetro para as contratações temporárias.</w:t>
      </w:r>
    </w:p>
    <w:p w14:paraId="4E021BB1" w14:textId="19CD28F0" w:rsidR="00B873ED" w:rsidRPr="00B873ED" w:rsidRDefault="00B873ED" w:rsidP="00B873ED">
      <w:pPr>
        <w:spacing w:after="240" w:line="240" w:lineRule="auto"/>
        <w:jc w:val="both"/>
        <w:rPr>
          <w:sz w:val="24"/>
          <w:szCs w:val="24"/>
        </w:rPr>
      </w:pPr>
      <w:r w:rsidRPr="00B873ED">
        <w:rPr>
          <w:sz w:val="24"/>
          <w:szCs w:val="24"/>
        </w:rPr>
        <w:t xml:space="preserve">O Índice de Confiança do Empresário do Comércio (ICEC), elaborado mensalmente pela Fecomércio BA, subiu pelo segundo mês consecutivo e alcançou 109,2 pontos em novembro. </w:t>
      </w:r>
      <w:r w:rsidR="003C729E">
        <w:rPr>
          <w:sz w:val="24"/>
          <w:szCs w:val="24"/>
        </w:rPr>
        <w:t>Esse desempenho</w:t>
      </w:r>
      <w:r w:rsidRPr="00B873ED">
        <w:rPr>
          <w:sz w:val="24"/>
          <w:szCs w:val="24"/>
        </w:rPr>
        <w:t xml:space="preserve"> representa uma alta de 4% na comparação mensal e uma queda de 2,8% no comparativo anual. Ainda assim, este é o maior nível do indicador desde janeiro deste ano.</w:t>
      </w:r>
    </w:p>
    <w:p w14:paraId="41ED4398" w14:textId="77777777" w:rsidR="00B873ED" w:rsidRPr="00B873ED" w:rsidRDefault="00B873ED" w:rsidP="00B873ED">
      <w:pPr>
        <w:spacing w:after="240" w:line="240" w:lineRule="auto"/>
        <w:jc w:val="both"/>
        <w:rPr>
          <w:sz w:val="24"/>
          <w:szCs w:val="24"/>
        </w:rPr>
      </w:pPr>
      <w:r w:rsidRPr="00B873ED">
        <w:rPr>
          <w:sz w:val="24"/>
          <w:szCs w:val="24"/>
        </w:rPr>
        <w:t>O ICEC varia entre 0 e 200 pontos. Resultados acima de 100 indicam confiança dos empresários do comércio de Salvador, enquanto pontuações abaixo desse patamar refletem pessimismo.</w:t>
      </w:r>
    </w:p>
    <w:p w14:paraId="46470672" w14:textId="77777777" w:rsidR="00B873ED" w:rsidRPr="00B873ED" w:rsidRDefault="00B873ED" w:rsidP="00B873ED">
      <w:pPr>
        <w:spacing w:after="240" w:line="240" w:lineRule="auto"/>
        <w:jc w:val="both"/>
        <w:rPr>
          <w:sz w:val="24"/>
          <w:szCs w:val="24"/>
        </w:rPr>
      </w:pPr>
      <w:r w:rsidRPr="00B873ED">
        <w:rPr>
          <w:sz w:val="24"/>
          <w:szCs w:val="24"/>
        </w:rPr>
        <w:t>O destaque do mês é o Índice de Expectativa do Empresário do Comércio (IEEC), que avançou 5,7% em novembro ao passar de 132,6 para 140,1 pontos. Esse movimento mostra um aumento do otimismo em relação ao futuro próximo, certamente influenciado pelo período festivo das datas comemorativas, como Black Friday e Natal. A melhora aparece tanto na percepção sobre as empresas comerciais (3,9%) quanto na avaliação da economia brasileira (9,3%), resultado que pode ser explicado por fatores como inflação mais baixa, aumento do emprego, valorização do real e um distensionamento nas relações comerciais com os Estados Unidos, contribuindo para o crescimento do país.</w:t>
      </w:r>
    </w:p>
    <w:p w14:paraId="2DCF104B" w14:textId="77777777" w:rsidR="00B873ED" w:rsidRPr="00B873ED" w:rsidRDefault="00B873ED" w:rsidP="00B873ED">
      <w:pPr>
        <w:spacing w:after="240" w:line="240" w:lineRule="auto"/>
        <w:jc w:val="both"/>
        <w:rPr>
          <w:sz w:val="24"/>
          <w:szCs w:val="24"/>
        </w:rPr>
      </w:pPr>
      <w:r w:rsidRPr="00B873ED">
        <w:rPr>
          <w:sz w:val="24"/>
          <w:szCs w:val="24"/>
        </w:rPr>
        <w:t>O Índice de Investimento do Empresário do Comércio (IIEC) também avançou, registrando alta de 2,5%, impulsionado pelo crescimento de 6,8% no indicador de contratação de funcionários. Esse movimento está claramente associado ao período de compras de fim de ano e à expectativa positiva de aumento das vendas, o que naturalmente leva o empresariado a ampliar o quadro de colaboradores para atender a um público maior. Houve ainda uma elevação de 0,7% no nível de investimento das empresas.</w:t>
      </w:r>
    </w:p>
    <w:p w14:paraId="7BB0CEA8" w14:textId="77777777" w:rsidR="00B873ED" w:rsidRPr="00B873ED" w:rsidRDefault="00B873ED" w:rsidP="00B873ED">
      <w:pPr>
        <w:spacing w:after="240" w:line="240" w:lineRule="auto"/>
        <w:jc w:val="both"/>
        <w:rPr>
          <w:sz w:val="24"/>
          <w:szCs w:val="24"/>
        </w:rPr>
      </w:pPr>
      <w:r w:rsidRPr="00B873ED">
        <w:rPr>
          <w:sz w:val="24"/>
          <w:szCs w:val="24"/>
        </w:rPr>
        <w:t xml:space="preserve">Em relação ao Índice das Condições Atuais do Empresário do Comércio (ICAEC), houve crescimento de 2,9% em novembro, alcançando 83,9 pontos. A melhora ocorreu na avaliação geral da economia do país, do setor comercial e das próprias </w:t>
      </w:r>
      <w:r w:rsidRPr="00B873ED">
        <w:rPr>
          <w:sz w:val="24"/>
          <w:szCs w:val="24"/>
        </w:rPr>
        <w:lastRenderedPageBreak/>
        <w:t>empresas. Mesmo com esses avanços, o otimismo é maior quando se trata da própria empresa, em comparação ao cenário nacional. Vale destacar também que este é o único subíndice que apresenta nível superior ao de novembro de 2024, indicando expectativas mais favoráveis na atual reta final de ano.</w:t>
      </w:r>
    </w:p>
    <w:p w14:paraId="48F4F2D3" w14:textId="77777777" w:rsidR="00B873ED" w:rsidRPr="00B873ED" w:rsidRDefault="00B873ED" w:rsidP="00B873ED">
      <w:pPr>
        <w:spacing w:after="240" w:line="240" w:lineRule="auto"/>
        <w:jc w:val="both"/>
        <w:rPr>
          <w:sz w:val="24"/>
          <w:szCs w:val="24"/>
        </w:rPr>
      </w:pPr>
      <w:r w:rsidRPr="00B873ED">
        <w:rPr>
          <w:sz w:val="24"/>
          <w:szCs w:val="24"/>
        </w:rPr>
        <w:t>Esse aumento mensal oferece um alívio para as expectativas do setor. Representa um início de recuperação justamente no momento mais importante para o comércio, que é o período das vendas de fim de ano. Embora os juros ainda estejam elevados, o que encarece o crédito e aumenta a inadimplência, o mercado de trabalho aquecido e a inflação em desaceleração criam condições favoráveis para as vendas.</w:t>
      </w:r>
    </w:p>
    <w:p w14:paraId="0D476A11" w14:textId="02FC20EA" w:rsidR="00CE593E" w:rsidRDefault="006C76CE" w:rsidP="00CE593E">
      <w:pPr>
        <w:spacing w:after="240" w:line="240" w:lineRule="auto"/>
        <w:jc w:val="center"/>
      </w:pPr>
      <w:r w:rsidRPr="006C76CE">
        <w:rPr>
          <w:noProof/>
        </w:rPr>
        <w:drawing>
          <wp:inline distT="0" distB="0" distL="0" distR="0" wp14:anchorId="5450FE6B" wp14:editId="71277C96">
            <wp:extent cx="5400040" cy="3246120"/>
            <wp:effectExtent l="0" t="0" r="0" b="0"/>
            <wp:docPr id="5657497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246120"/>
                    </a:xfrm>
                    <a:prstGeom prst="rect">
                      <a:avLst/>
                    </a:prstGeom>
                    <a:noFill/>
                    <a:ln>
                      <a:noFill/>
                    </a:ln>
                  </pic:spPr>
                </pic:pic>
              </a:graphicData>
            </a:graphic>
          </wp:inline>
        </w:drawing>
      </w:r>
    </w:p>
    <w:p w14:paraId="07BCC421" w14:textId="77777777" w:rsidR="00CE593E" w:rsidRDefault="00CE593E" w:rsidP="00CE593E">
      <w:pPr>
        <w:spacing w:after="240" w:line="240" w:lineRule="auto"/>
        <w:jc w:val="center"/>
      </w:pPr>
    </w:p>
    <w:p w14:paraId="1BEB3891" w14:textId="4340BA35" w:rsidR="00B8063E" w:rsidRPr="004B00E5" w:rsidRDefault="006C76CE" w:rsidP="00F84C10">
      <w:pPr>
        <w:spacing w:after="240" w:line="240" w:lineRule="auto"/>
        <w:jc w:val="center"/>
        <w:rPr>
          <w:rFonts w:ascii="Open Sans" w:eastAsia="Yu Gothic UI Semibold" w:hAnsi="Open Sans" w:cs="Open Sans"/>
          <w:b/>
          <w:bCs/>
          <w:color w:val="000000"/>
          <w:sz w:val="20"/>
          <w:szCs w:val="20"/>
          <w:u w:val="single"/>
        </w:rPr>
      </w:pPr>
      <w:r>
        <w:rPr>
          <w:rFonts w:ascii="Open Sans" w:eastAsia="Yu Gothic UI Semibold" w:hAnsi="Open Sans" w:cs="Open Sans"/>
          <w:b/>
          <w:bCs/>
          <w:noProof/>
          <w:color w:val="000000"/>
          <w:sz w:val="20"/>
          <w:szCs w:val="20"/>
          <w:u w:val="single"/>
        </w:rPr>
        <w:lastRenderedPageBreak/>
        <w:drawing>
          <wp:inline distT="0" distB="0" distL="0" distR="0" wp14:anchorId="46B43EBD" wp14:editId="67B91AA9">
            <wp:extent cx="4572635" cy="2743200"/>
            <wp:effectExtent l="0" t="0" r="0" b="0"/>
            <wp:docPr id="112896504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sectPr w:rsidR="00B8063E" w:rsidRPr="004B00E5" w:rsidSect="00535EDF">
      <w:headerReference w:type="default" r:id="rId10"/>
      <w:footerReference w:type="default" r:id="rId11"/>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4BDD" w14:textId="77777777" w:rsidR="007B1F3B" w:rsidRDefault="007B1F3B" w:rsidP="0070792E">
      <w:pPr>
        <w:spacing w:line="240" w:lineRule="auto"/>
      </w:pPr>
      <w:r>
        <w:separator/>
      </w:r>
    </w:p>
  </w:endnote>
  <w:endnote w:type="continuationSeparator" w:id="0">
    <w:p w14:paraId="3C6A12D0" w14:textId="77777777" w:rsidR="007B1F3B" w:rsidRDefault="007B1F3B"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D485" w14:textId="77777777" w:rsidR="007B1F3B" w:rsidRDefault="007B1F3B" w:rsidP="0070792E">
      <w:pPr>
        <w:spacing w:line="240" w:lineRule="auto"/>
      </w:pPr>
      <w:r>
        <w:separator/>
      </w:r>
    </w:p>
  </w:footnote>
  <w:footnote w:type="continuationSeparator" w:id="0">
    <w:p w14:paraId="0527F593" w14:textId="77777777" w:rsidR="007B1F3B" w:rsidRDefault="007B1F3B"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70E1"/>
    <w:rsid w:val="000261AD"/>
    <w:rsid w:val="00042BBC"/>
    <w:rsid w:val="00064ABD"/>
    <w:rsid w:val="00082B6F"/>
    <w:rsid w:val="000966D9"/>
    <w:rsid w:val="000A3DC3"/>
    <w:rsid w:val="000A4194"/>
    <w:rsid w:val="000E7D49"/>
    <w:rsid w:val="000F4E5F"/>
    <w:rsid w:val="001147BE"/>
    <w:rsid w:val="00116681"/>
    <w:rsid w:val="00144B89"/>
    <w:rsid w:val="00151198"/>
    <w:rsid w:val="0016398E"/>
    <w:rsid w:val="00166598"/>
    <w:rsid w:val="00166D16"/>
    <w:rsid w:val="00172E61"/>
    <w:rsid w:val="00183B72"/>
    <w:rsid w:val="001B00D4"/>
    <w:rsid w:val="001B5623"/>
    <w:rsid w:val="001C2215"/>
    <w:rsid w:val="001D2BFE"/>
    <w:rsid w:val="001E78B8"/>
    <w:rsid w:val="001F2EDE"/>
    <w:rsid w:val="001F7400"/>
    <w:rsid w:val="00201FDE"/>
    <w:rsid w:val="002209FF"/>
    <w:rsid w:val="00226229"/>
    <w:rsid w:val="00231DAA"/>
    <w:rsid w:val="002536A3"/>
    <w:rsid w:val="00266332"/>
    <w:rsid w:val="00271AF8"/>
    <w:rsid w:val="0027479B"/>
    <w:rsid w:val="002B724F"/>
    <w:rsid w:val="002E6801"/>
    <w:rsid w:val="002F119F"/>
    <w:rsid w:val="00300B8B"/>
    <w:rsid w:val="0032099F"/>
    <w:rsid w:val="003266C1"/>
    <w:rsid w:val="00327233"/>
    <w:rsid w:val="00333516"/>
    <w:rsid w:val="00333553"/>
    <w:rsid w:val="003368F4"/>
    <w:rsid w:val="00350F30"/>
    <w:rsid w:val="003750BA"/>
    <w:rsid w:val="00376085"/>
    <w:rsid w:val="003865A2"/>
    <w:rsid w:val="00392F68"/>
    <w:rsid w:val="0039559A"/>
    <w:rsid w:val="003A2193"/>
    <w:rsid w:val="003A44A8"/>
    <w:rsid w:val="003C729E"/>
    <w:rsid w:val="003E2FE5"/>
    <w:rsid w:val="003F023C"/>
    <w:rsid w:val="004039F5"/>
    <w:rsid w:val="00451F68"/>
    <w:rsid w:val="00467308"/>
    <w:rsid w:val="00487CB1"/>
    <w:rsid w:val="004A0DBF"/>
    <w:rsid w:val="004B00E5"/>
    <w:rsid w:val="004C1066"/>
    <w:rsid w:val="004F3C38"/>
    <w:rsid w:val="0051434C"/>
    <w:rsid w:val="005252DB"/>
    <w:rsid w:val="005333DB"/>
    <w:rsid w:val="00534DDB"/>
    <w:rsid w:val="00535EDF"/>
    <w:rsid w:val="00555C23"/>
    <w:rsid w:val="00595592"/>
    <w:rsid w:val="005E357D"/>
    <w:rsid w:val="005F4161"/>
    <w:rsid w:val="00633E98"/>
    <w:rsid w:val="00644EA1"/>
    <w:rsid w:val="00656079"/>
    <w:rsid w:val="00657DFE"/>
    <w:rsid w:val="0066133B"/>
    <w:rsid w:val="00664B52"/>
    <w:rsid w:val="00690D36"/>
    <w:rsid w:val="006A11FC"/>
    <w:rsid w:val="006A4721"/>
    <w:rsid w:val="006B4406"/>
    <w:rsid w:val="006B6563"/>
    <w:rsid w:val="006C0BCC"/>
    <w:rsid w:val="006C189B"/>
    <w:rsid w:val="006C2126"/>
    <w:rsid w:val="006C494C"/>
    <w:rsid w:val="006C76CE"/>
    <w:rsid w:val="006D3DC0"/>
    <w:rsid w:val="006D6FA9"/>
    <w:rsid w:val="006E5C7A"/>
    <w:rsid w:val="006F312C"/>
    <w:rsid w:val="00702F48"/>
    <w:rsid w:val="0070358D"/>
    <w:rsid w:val="0070792E"/>
    <w:rsid w:val="0072234C"/>
    <w:rsid w:val="00723B51"/>
    <w:rsid w:val="007707E8"/>
    <w:rsid w:val="00774CEB"/>
    <w:rsid w:val="007A07C9"/>
    <w:rsid w:val="007A68F3"/>
    <w:rsid w:val="007B1F3B"/>
    <w:rsid w:val="007F15FC"/>
    <w:rsid w:val="00800731"/>
    <w:rsid w:val="008220C9"/>
    <w:rsid w:val="00832C2E"/>
    <w:rsid w:val="00833365"/>
    <w:rsid w:val="00834125"/>
    <w:rsid w:val="00854BD4"/>
    <w:rsid w:val="00864987"/>
    <w:rsid w:val="00870DE4"/>
    <w:rsid w:val="00897D78"/>
    <w:rsid w:val="00897FC9"/>
    <w:rsid w:val="008C221F"/>
    <w:rsid w:val="008D171D"/>
    <w:rsid w:val="008E09B1"/>
    <w:rsid w:val="008F7184"/>
    <w:rsid w:val="00905F15"/>
    <w:rsid w:val="00926634"/>
    <w:rsid w:val="009502AA"/>
    <w:rsid w:val="00954C11"/>
    <w:rsid w:val="00981BB3"/>
    <w:rsid w:val="0098557B"/>
    <w:rsid w:val="00985FFE"/>
    <w:rsid w:val="009873D7"/>
    <w:rsid w:val="009A3E72"/>
    <w:rsid w:val="009A748A"/>
    <w:rsid w:val="009B6A98"/>
    <w:rsid w:val="009C5799"/>
    <w:rsid w:val="009D1618"/>
    <w:rsid w:val="00A16058"/>
    <w:rsid w:val="00A2172E"/>
    <w:rsid w:val="00A409A2"/>
    <w:rsid w:val="00A43F9A"/>
    <w:rsid w:val="00A6553C"/>
    <w:rsid w:val="00A75612"/>
    <w:rsid w:val="00A820E8"/>
    <w:rsid w:val="00A92CBE"/>
    <w:rsid w:val="00A92D4A"/>
    <w:rsid w:val="00A970B9"/>
    <w:rsid w:val="00AA7849"/>
    <w:rsid w:val="00AB248B"/>
    <w:rsid w:val="00AC63B2"/>
    <w:rsid w:val="00AE463E"/>
    <w:rsid w:val="00AE4CD9"/>
    <w:rsid w:val="00AE71EC"/>
    <w:rsid w:val="00B0079C"/>
    <w:rsid w:val="00B139AE"/>
    <w:rsid w:val="00B17372"/>
    <w:rsid w:val="00B2493B"/>
    <w:rsid w:val="00B26562"/>
    <w:rsid w:val="00B44BC9"/>
    <w:rsid w:val="00B6028A"/>
    <w:rsid w:val="00B65D13"/>
    <w:rsid w:val="00B8063E"/>
    <w:rsid w:val="00B873ED"/>
    <w:rsid w:val="00B91AA1"/>
    <w:rsid w:val="00BA42CC"/>
    <w:rsid w:val="00BB2417"/>
    <w:rsid w:val="00BC5002"/>
    <w:rsid w:val="00BC509C"/>
    <w:rsid w:val="00BE766B"/>
    <w:rsid w:val="00C00FC6"/>
    <w:rsid w:val="00C17285"/>
    <w:rsid w:val="00C43EE2"/>
    <w:rsid w:val="00C47571"/>
    <w:rsid w:val="00C57464"/>
    <w:rsid w:val="00C66C8F"/>
    <w:rsid w:val="00C706DC"/>
    <w:rsid w:val="00C94CF5"/>
    <w:rsid w:val="00CA344F"/>
    <w:rsid w:val="00CB110F"/>
    <w:rsid w:val="00CD0725"/>
    <w:rsid w:val="00CE019A"/>
    <w:rsid w:val="00CE593E"/>
    <w:rsid w:val="00D0062D"/>
    <w:rsid w:val="00D258C5"/>
    <w:rsid w:val="00D316BE"/>
    <w:rsid w:val="00D33075"/>
    <w:rsid w:val="00DC1C23"/>
    <w:rsid w:val="00DC4371"/>
    <w:rsid w:val="00DC77A2"/>
    <w:rsid w:val="00DF28C9"/>
    <w:rsid w:val="00E0323B"/>
    <w:rsid w:val="00E123A1"/>
    <w:rsid w:val="00E23FE4"/>
    <w:rsid w:val="00E265D0"/>
    <w:rsid w:val="00E40B6B"/>
    <w:rsid w:val="00E72296"/>
    <w:rsid w:val="00EA75CD"/>
    <w:rsid w:val="00EB27B6"/>
    <w:rsid w:val="00EB53A2"/>
    <w:rsid w:val="00EB73FF"/>
    <w:rsid w:val="00ED230E"/>
    <w:rsid w:val="00ED31A9"/>
    <w:rsid w:val="00ED74EF"/>
    <w:rsid w:val="00EF626B"/>
    <w:rsid w:val="00EF7CD0"/>
    <w:rsid w:val="00F1138E"/>
    <w:rsid w:val="00F11E07"/>
    <w:rsid w:val="00F2415C"/>
    <w:rsid w:val="00F25827"/>
    <w:rsid w:val="00F37DBD"/>
    <w:rsid w:val="00F540F0"/>
    <w:rsid w:val="00F56D1C"/>
    <w:rsid w:val="00F57213"/>
    <w:rsid w:val="00F63966"/>
    <w:rsid w:val="00F6622B"/>
    <w:rsid w:val="00F676C3"/>
    <w:rsid w:val="00F84C10"/>
    <w:rsid w:val="00F8603C"/>
    <w:rsid w:val="00F868B5"/>
    <w:rsid w:val="00FA73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65610157">
      <w:bodyDiv w:val="1"/>
      <w:marLeft w:val="0"/>
      <w:marRight w:val="0"/>
      <w:marTop w:val="0"/>
      <w:marBottom w:val="0"/>
      <w:divBdr>
        <w:top w:val="none" w:sz="0" w:space="0" w:color="auto"/>
        <w:left w:val="none" w:sz="0" w:space="0" w:color="auto"/>
        <w:bottom w:val="none" w:sz="0" w:space="0" w:color="auto"/>
        <w:right w:val="none" w:sz="0" w:space="0" w:color="auto"/>
      </w:divBdr>
    </w:div>
    <w:div w:id="134153080">
      <w:bodyDiv w:val="1"/>
      <w:marLeft w:val="0"/>
      <w:marRight w:val="0"/>
      <w:marTop w:val="0"/>
      <w:marBottom w:val="0"/>
      <w:divBdr>
        <w:top w:val="none" w:sz="0" w:space="0" w:color="auto"/>
        <w:left w:val="none" w:sz="0" w:space="0" w:color="auto"/>
        <w:bottom w:val="none" w:sz="0" w:space="0" w:color="auto"/>
        <w:right w:val="none" w:sz="0" w:space="0" w:color="auto"/>
      </w:divBdr>
    </w:div>
    <w:div w:id="241986800">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646863288">
      <w:bodyDiv w:val="1"/>
      <w:marLeft w:val="0"/>
      <w:marRight w:val="0"/>
      <w:marTop w:val="0"/>
      <w:marBottom w:val="0"/>
      <w:divBdr>
        <w:top w:val="none" w:sz="0" w:space="0" w:color="auto"/>
        <w:left w:val="none" w:sz="0" w:space="0" w:color="auto"/>
        <w:bottom w:val="none" w:sz="0" w:space="0" w:color="auto"/>
        <w:right w:val="none" w:sz="0" w:space="0" w:color="auto"/>
      </w:divBdr>
    </w:div>
    <w:div w:id="794251241">
      <w:bodyDiv w:val="1"/>
      <w:marLeft w:val="0"/>
      <w:marRight w:val="0"/>
      <w:marTop w:val="0"/>
      <w:marBottom w:val="0"/>
      <w:divBdr>
        <w:top w:val="none" w:sz="0" w:space="0" w:color="auto"/>
        <w:left w:val="none" w:sz="0" w:space="0" w:color="auto"/>
        <w:bottom w:val="none" w:sz="0" w:space="0" w:color="auto"/>
        <w:right w:val="none" w:sz="0" w:space="0" w:color="auto"/>
      </w:divBdr>
    </w:div>
    <w:div w:id="919562923">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282423350">
      <w:bodyDiv w:val="1"/>
      <w:marLeft w:val="0"/>
      <w:marRight w:val="0"/>
      <w:marTop w:val="0"/>
      <w:marBottom w:val="0"/>
      <w:divBdr>
        <w:top w:val="none" w:sz="0" w:space="0" w:color="auto"/>
        <w:left w:val="none" w:sz="0" w:space="0" w:color="auto"/>
        <w:bottom w:val="none" w:sz="0" w:space="0" w:color="auto"/>
        <w:right w:val="none" w:sz="0" w:space="0" w:color="auto"/>
      </w:divBdr>
    </w:div>
    <w:div w:id="1512800002">
      <w:bodyDiv w:val="1"/>
      <w:marLeft w:val="0"/>
      <w:marRight w:val="0"/>
      <w:marTop w:val="0"/>
      <w:marBottom w:val="0"/>
      <w:divBdr>
        <w:top w:val="none" w:sz="0" w:space="0" w:color="auto"/>
        <w:left w:val="none" w:sz="0" w:space="0" w:color="auto"/>
        <w:bottom w:val="none" w:sz="0" w:space="0" w:color="auto"/>
        <w:right w:val="none" w:sz="0" w:space="0" w:color="auto"/>
      </w:divBdr>
    </w:div>
    <w:div w:id="1654328887">
      <w:bodyDiv w:val="1"/>
      <w:marLeft w:val="0"/>
      <w:marRight w:val="0"/>
      <w:marTop w:val="0"/>
      <w:marBottom w:val="0"/>
      <w:divBdr>
        <w:top w:val="none" w:sz="0" w:space="0" w:color="auto"/>
        <w:left w:val="none" w:sz="0" w:space="0" w:color="auto"/>
        <w:bottom w:val="none" w:sz="0" w:space="0" w:color="auto"/>
        <w:right w:val="none" w:sz="0" w:space="0" w:color="auto"/>
      </w:divBdr>
    </w:div>
    <w:div w:id="1790933403">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B690-D3C3-4C3F-B757-D386BC8E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3</Pages>
  <Words>440</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59</cp:revision>
  <dcterms:created xsi:type="dcterms:W3CDTF">2025-02-19T18:55:00Z</dcterms:created>
  <dcterms:modified xsi:type="dcterms:W3CDTF">2025-11-28T17:36:00Z</dcterms:modified>
</cp:coreProperties>
</file>