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ABBB" w14:textId="6D5A83BD" w:rsidR="00A670ED" w:rsidRPr="00187771" w:rsidRDefault="00D32DE2" w:rsidP="00A670ED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INFLAÇÃO EM SALVADOR FECHA EM 3,8% EM 2025, MENOR NÍVEL DESDE 2020</w:t>
      </w:r>
      <w:r w:rsidR="00F416E8" w:rsidRPr="00F416E8">
        <w:rPr>
          <w:b/>
          <w:caps/>
          <w:sz w:val="24"/>
          <w:szCs w:val="24"/>
        </w:rPr>
        <w:t>,</w:t>
      </w:r>
      <w:r w:rsidR="00F416E8">
        <w:rPr>
          <w:b/>
          <w:sz w:val="24"/>
          <w:szCs w:val="24"/>
        </w:rPr>
        <w:t xml:space="preserve"> </w:t>
      </w:r>
      <w:r w:rsidR="00A670ED">
        <w:rPr>
          <w:b/>
          <w:sz w:val="24"/>
          <w:szCs w:val="24"/>
        </w:rPr>
        <w:t>AVALIA FECOMÉRCIO</w:t>
      </w:r>
      <w:r w:rsidR="008B5483">
        <w:rPr>
          <w:b/>
          <w:sz w:val="24"/>
          <w:szCs w:val="24"/>
        </w:rPr>
        <w:t xml:space="preserve"> </w:t>
      </w:r>
      <w:r w:rsidR="00A670ED">
        <w:rPr>
          <w:b/>
          <w:sz w:val="24"/>
          <w:szCs w:val="24"/>
        </w:rPr>
        <w:t>BA.</w:t>
      </w:r>
    </w:p>
    <w:p w14:paraId="5BC1EB37" w14:textId="71AF82C3" w:rsidR="00A670ED" w:rsidRPr="00712B79" w:rsidRDefault="00D32DE2" w:rsidP="00A670ED">
      <w:pPr>
        <w:spacing w:before="240" w:after="240" w:line="276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Alimentos aceleram em dezembro e índice sobe 0,59% no último mês do ano.</w:t>
      </w:r>
    </w:p>
    <w:p w14:paraId="6D31C97A" w14:textId="77777777" w:rsidR="0064102C" w:rsidRPr="0064102C" w:rsidRDefault="0064102C" w:rsidP="0064102C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64102C">
        <w:rPr>
          <w:color w:val="000000" w:themeColor="text1"/>
          <w:sz w:val="24"/>
          <w:szCs w:val="24"/>
        </w:rPr>
        <w:t>A inflação na Região Metropolitana de Salvador, medida pelo Índice de Preços ao Consumidor Amplo (IPCA) do IBGE, encerrou 2025 com alta de 3,80%, o menor patamar desde 2020. Na avaliação da Fecomércio BA, o cenário permanece positivo, apesar da maior pressão observada no último mês do ano passado, quando o índice avançou 0,59%, além da possibilidade de aumentos mais expressivos neste início de ano em função de fatores sazonais.</w:t>
      </w:r>
    </w:p>
    <w:p w14:paraId="2A0B3B2B" w14:textId="77777777" w:rsidR="0064102C" w:rsidRPr="0064102C" w:rsidRDefault="0064102C" w:rsidP="0064102C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64102C">
        <w:rPr>
          <w:color w:val="000000" w:themeColor="text1"/>
          <w:sz w:val="24"/>
          <w:szCs w:val="24"/>
        </w:rPr>
        <w:t>Na análise mensal, a elevação de 0,59% foi puxada principalmente pelo grupo de alimentos e bebidas, que registrou alta de 1,23%. Há um comportamento sazonal de aumento, até aproximadamente abril, de itens como a cebola, que subiu 53,93% apenas em dezembro, e a cenoura, com elevação de 9,39%. As carnes também vêm exercendo pressão nos últimos meses, com aumento de 2,15% em dezembro, reflexo da valorização no mercado do boi. No entanto, as negociações já indicam preços mais baixos neste momento, o que pode resultar em reajustes mais amenos nos próximos meses. Ainda assim, mesmo com a alta registrada no último mês, o acumulado em 12 meses para alimentos e bebidas ficou em 3,58%, abaixo da inflação média da região.</w:t>
      </w:r>
    </w:p>
    <w:p w14:paraId="0BE99F31" w14:textId="77777777" w:rsidR="0064102C" w:rsidRPr="0064102C" w:rsidRDefault="0064102C" w:rsidP="0064102C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64102C">
        <w:rPr>
          <w:color w:val="000000" w:themeColor="text1"/>
          <w:sz w:val="24"/>
          <w:szCs w:val="24"/>
        </w:rPr>
        <w:t>Outra elevação relevante no período foi observada no grupo de transportes, com alta mensal de 1,03%. Apesar disso, o grupo encerrou o ano com uma das menores variações acumuladas, de 1,57%. A pressão era esperada em função da alta temporada do turismo, refletida nos avanços de 26,53% nas passagens aéreas, de 11,19% no aluguel de veículos e de 8,99% no transporte por aplicativo.</w:t>
      </w:r>
    </w:p>
    <w:p w14:paraId="1C8CC19E" w14:textId="77777777" w:rsidR="0064102C" w:rsidRPr="0064102C" w:rsidRDefault="0064102C" w:rsidP="0064102C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64102C">
        <w:rPr>
          <w:color w:val="000000" w:themeColor="text1"/>
          <w:sz w:val="24"/>
          <w:szCs w:val="24"/>
        </w:rPr>
        <w:t>O turismo também contribuiu para o aumento de 0,47% no grupo de despesas pessoais, impulsionado pela alta mensal de 3,45% nos pacotes turísticos. No acumulado do ano, esse foi o grupo que apresentou a maior elevação, de 6,98%.</w:t>
      </w:r>
    </w:p>
    <w:p w14:paraId="5EEC8152" w14:textId="77777777" w:rsidR="0064102C" w:rsidRPr="0064102C" w:rsidRDefault="0064102C" w:rsidP="0064102C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64102C">
        <w:rPr>
          <w:color w:val="000000" w:themeColor="text1"/>
          <w:sz w:val="24"/>
          <w:szCs w:val="24"/>
        </w:rPr>
        <w:lastRenderedPageBreak/>
        <w:t>O grupo de saúde e cuidados pessoais registrou aumento de 0,45% em dezembro e acumulou alta de 5,68% em 2025. A variação positiva foi influenciada tanto por itens de higiene, como fralda descartável, com aumento de 2,73%, quanto por medicamentos, a exemplo do hipotensor, que subiu 1,53%.</w:t>
      </w:r>
    </w:p>
    <w:p w14:paraId="322A0619" w14:textId="77777777" w:rsidR="0064102C" w:rsidRPr="0064102C" w:rsidRDefault="0064102C" w:rsidP="0064102C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64102C">
        <w:rPr>
          <w:color w:val="000000" w:themeColor="text1"/>
          <w:sz w:val="24"/>
          <w:szCs w:val="24"/>
        </w:rPr>
        <w:t>As demais variações positivas no mês foram observadas em artigos de residência (0,69%), comunicação (0,37%), vestuário (0,31%) e educação (0,07%). O grupo de artigos de residência foi o único a registrar deflação no acumulado do ano, com queda de 3,74%.</w:t>
      </w:r>
    </w:p>
    <w:p w14:paraId="1138C8B9" w14:textId="77777777" w:rsidR="0064102C" w:rsidRPr="0064102C" w:rsidRDefault="0064102C" w:rsidP="0064102C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64102C">
        <w:rPr>
          <w:color w:val="000000" w:themeColor="text1"/>
          <w:sz w:val="24"/>
          <w:szCs w:val="24"/>
        </w:rPr>
        <w:t>O único grupo que apresentou retração em dezembro foi o de habitação, com queda de 0,39%, influenciada principalmente pela redução de 1,94% no preço médio da energia elétrica residencial.</w:t>
      </w:r>
    </w:p>
    <w:p w14:paraId="4A791A4D" w14:textId="77777777" w:rsidR="0064102C" w:rsidRPr="0064102C" w:rsidRDefault="0064102C" w:rsidP="0064102C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64102C">
        <w:rPr>
          <w:color w:val="000000" w:themeColor="text1"/>
          <w:sz w:val="24"/>
          <w:szCs w:val="24"/>
        </w:rPr>
        <w:t>As perspectivas para a inflação em 2026 seguem favoráveis, sem expectativas de pressões relevantes além das tradicionais e sazonais, como o comportamento de alguns alimentos neste início de ano, os reajustes educacionais em fevereiro e os aumentos de medicamentos em abril, entre outros.</w:t>
      </w:r>
    </w:p>
    <w:p w14:paraId="22F2E58C" w14:textId="77777777" w:rsidR="0064102C" w:rsidRPr="0064102C" w:rsidRDefault="0064102C" w:rsidP="0064102C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64102C">
        <w:rPr>
          <w:color w:val="000000" w:themeColor="text1"/>
          <w:sz w:val="24"/>
          <w:szCs w:val="24"/>
        </w:rPr>
        <w:t>Mantido esse cenário, preserva-se um horizonte favorável para o reequilíbrio das contas familiares e para a expansão do consumo. Mesmo com a elevação mais intensa dos preços de alimentos no início do ano, o movimento não ocorre de forma generalizada, o que amplia as possibilidades de substituição nas compras. Assim, uma inflação abaixo de 4% na Região Metropolitana de Salvador, sem grandes preocupações, contribui para a melhora das expectativas em relação à economia regional ao longo do ano.</w:t>
      </w:r>
    </w:p>
    <w:p w14:paraId="435263F9" w14:textId="252ABEC9" w:rsidR="0078149C" w:rsidRDefault="0078149C" w:rsidP="00B622C8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</w:p>
    <w:p w14:paraId="27EB65CB" w14:textId="77777777" w:rsidR="00633C22" w:rsidRPr="00B622C8" w:rsidRDefault="00633C22" w:rsidP="00B622C8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</w:p>
    <w:p w14:paraId="6BC559CD" w14:textId="77777777" w:rsidR="00FC1EB7" w:rsidRPr="00F416E8" w:rsidRDefault="00FC1EB7" w:rsidP="00F416E8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</w:p>
    <w:p w14:paraId="6447D029" w14:textId="69F89B9E" w:rsidR="00A670ED" w:rsidRDefault="00B722DB" w:rsidP="00A670E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noProof/>
          <w:sz w:val="20"/>
          <w:szCs w:val="20"/>
          <w:u w:val="single"/>
        </w:rPr>
      </w:pPr>
      <w:r w:rsidRPr="00B722DB">
        <w:lastRenderedPageBreak/>
        <w:drawing>
          <wp:inline distT="0" distB="0" distL="0" distR="0" wp14:anchorId="3E696E2B" wp14:editId="4C560889">
            <wp:extent cx="4045305" cy="1887555"/>
            <wp:effectExtent l="0" t="0" r="0" b="0"/>
            <wp:docPr id="54925665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112" cy="189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99554" w14:textId="320E312A" w:rsidR="00A670ED" w:rsidRDefault="00B722DB" w:rsidP="00A670E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sz w:val="20"/>
          <w:szCs w:val="20"/>
          <w:u w:val="single"/>
        </w:rPr>
      </w:pPr>
      <w:r>
        <w:rPr>
          <w:rFonts w:ascii="Open Sans" w:eastAsia="Yu Gothic UI Semibold" w:hAnsi="Open Sans" w:cs="Open Sans"/>
          <w:b/>
          <w:bCs/>
          <w:noProof/>
          <w:sz w:val="20"/>
          <w:szCs w:val="20"/>
          <w:u w:val="single"/>
        </w:rPr>
        <w:drawing>
          <wp:inline distT="0" distB="0" distL="0" distR="0" wp14:anchorId="43E20A72" wp14:editId="6B751761">
            <wp:extent cx="4001415" cy="2174627"/>
            <wp:effectExtent l="0" t="0" r="0" b="0"/>
            <wp:docPr id="142348005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946" cy="2177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EB3891" w14:textId="57A2C5E2" w:rsidR="00B8063E" w:rsidRPr="004B00E5" w:rsidRDefault="00B722DB" w:rsidP="0016771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  <w:r>
        <w:rPr>
          <w:rFonts w:ascii="Open Sans" w:eastAsia="Yu Gothic UI Semibold" w:hAnsi="Open Sans" w:cs="Open Sans"/>
          <w:b/>
          <w:bCs/>
          <w:noProof/>
          <w:sz w:val="20"/>
          <w:szCs w:val="20"/>
          <w:u w:val="single"/>
        </w:rPr>
        <w:drawing>
          <wp:inline distT="0" distB="0" distL="0" distR="0" wp14:anchorId="523B16B4" wp14:editId="101B75BC">
            <wp:extent cx="3628340" cy="2159607"/>
            <wp:effectExtent l="0" t="0" r="0" b="0"/>
            <wp:docPr id="129626989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178" cy="2163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8063E" w:rsidRPr="004B00E5" w:rsidSect="00535EDF">
      <w:headerReference w:type="default" r:id="rId10"/>
      <w:footerReference w:type="default" r:id="rId11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107D1" w14:textId="77777777" w:rsidR="000357C6" w:rsidRDefault="000357C6" w:rsidP="0070792E">
      <w:pPr>
        <w:spacing w:line="240" w:lineRule="auto"/>
      </w:pPr>
      <w:r>
        <w:separator/>
      </w:r>
    </w:p>
  </w:endnote>
  <w:endnote w:type="continuationSeparator" w:id="0">
    <w:p w14:paraId="6E14B76D" w14:textId="77777777" w:rsidR="000357C6" w:rsidRDefault="000357C6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CA0D7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Av. Tancredo Neves, 1.109 – </w:t>
                          </w:r>
                          <w:proofErr w:type="spellStart"/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Edf</w:t>
                          </w:r>
                          <w:proofErr w:type="spellEnd"/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CEP 41.820-021 – </w:t>
                          </w:r>
                          <w:proofErr w:type="spellStart"/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Salvador-BA</w:t>
                          </w:r>
                          <w:proofErr w:type="spellEnd"/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Av. Tancredo Neves, 1.109 – </w:t>
                    </w:r>
                    <w:proofErr w:type="spellStart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Edf</w:t>
                    </w:r>
                    <w:proofErr w:type="spellEnd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CEP 41.820-021 – </w:t>
                    </w:r>
                    <w:proofErr w:type="spellStart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Salvador-BA</w:t>
                    </w:r>
                    <w:proofErr w:type="spellEnd"/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7D1F" w14:textId="77777777" w:rsidR="000357C6" w:rsidRDefault="000357C6" w:rsidP="0070792E">
      <w:pPr>
        <w:spacing w:line="240" w:lineRule="auto"/>
      </w:pPr>
      <w:r>
        <w:separator/>
      </w:r>
    </w:p>
  </w:footnote>
  <w:footnote w:type="continuationSeparator" w:id="0">
    <w:p w14:paraId="4CC3EE65" w14:textId="77777777" w:rsidR="000357C6" w:rsidRDefault="000357C6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4A21"/>
    <w:rsid w:val="00004DD0"/>
    <w:rsid w:val="000261AD"/>
    <w:rsid w:val="000319B2"/>
    <w:rsid w:val="000324EA"/>
    <w:rsid w:val="000357C6"/>
    <w:rsid w:val="00064ABD"/>
    <w:rsid w:val="00082B6F"/>
    <w:rsid w:val="00094419"/>
    <w:rsid w:val="000966D9"/>
    <w:rsid w:val="000A3DC3"/>
    <w:rsid w:val="000B2B48"/>
    <w:rsid w:val="000D25BD"/>
    <w:rsid w:val="000E7D49"/>
    <w:rsid w:val="000F4E5F"/>
    <w:rsid w:val="000F5EF2"/>
    <w:rsid w:val="00105D20"/>
    <w:rsid w:val="00107333"/>
    <w:rsid w:val="001154D6"/>
    <w:rsid w:val="00124D23"/>
    <w:rsid w:val="001325F6"/>
    <w:rsid w:val="00151198"/>
    <w:rsid w:val="001573C6"/>
    <w:rsid w:val="00162F70"/>
    <w:rsid w:val="00166598"/>
    <w:rsid w:val="00166D16"/>
    <w:rsid w:val="0016771B"/>
    <w:rsid w:val="00172E61"/>
    <w:rsid w:val="00183B72"/>
    <w:rsid w:val="001857A9"/>
    <w:rsid w:val="00187884"/>
    <w:rsid w:val="001944B1"/>
    <w:rsid w:val="001968F5"/>
    <w:rsid w:val="001A108C"/>
    <w:rsid w:val="001A6CE7"/>
    <w:rsid w:val="001F2EDE"/>
    <w:rsid w:val="001F7400"/>
    <w:rsid w:val="00201FDE"/>
    <w:rsid w:val="00220618"/>
    <w:rsid w:val="00231DAA"/>
    <w:rsid w:val="0025092B"/>
    <w:rsid w:val="002565F6"/>
    <w:rsid w:val="00265F95"/>
    <w:rsid w:val="002B724F"/>
    <w:rsid w:val="002C5AA5"/>
    <w:rsid w:val="002C5BFB"/>
    <w:rsid w:val="002D072C"/>
    <w:rsid w:val="002F7F2F"/>
    <w:rsid w:val="003031FF"/>
    <w:rsid w:val="003048AB"/>
    <w:rsid w:val="00305BCE"/>
    <w:rsid w:val="00313129"/>
    <w:rsid w:val="00317959"/>
    <w:rsid w:val="0032099F"/>
    <w:rsid w:val="00333516"/>
    <w:rsid w:val="003368F4"/>
    <w:rsid w:val="003555A7"/>
    <w:rsid w:val="00374FA3"/>
    <w:rsid w:val="00376085"/>
    <w:rsid w:val="00380FE4"/>
    <w:rsid w:val="003A2193"/>
    <w:rsid w:val="003A44A8"/>
    <w:rsid w:val="003A5CBC"/>
    <w:rsid w:val="003B7097"/>
    <w:rsid w:val="004039F5"/>
    <w:rsid w:val="00406279"/>
    <w:rsid w:val="0041157D"/>
    <w:rsid w:val="004152B5"/>
    <w:rsid w:val="00445073"/>
    <w:rsid w:val="004561F6"/>
    <w:rsid w:val="00467308"/>
    <w:rsid w:val="00487CB1"/>
    <w:rsid w:val="004A0DBF"/>
    <w:rsid w:val="004B00E5"/>
    <w:rsid w:val="004C204D"/>
    <w:rsid w:val="004C2E8B"/>
    <w:rsid w:val="004F239A"/>
    <w:rsid w:val="004F3C38"/>
    <w:rsid w:val="0050144D"/>
    <w:rsid w:val="005274C2"/>
    <w:rsid w:val="00534DDB"/>
    <w:rsid w:val="00535EDF"/>
    <w:rsid w:val="0054367C"/>
    <w:rsid w:val="00554862"/>
    <w:rsid w:val="00561CFE"/>
    <w:rsid w:val="00572547"/>
    <w:rsid w:val="00595592"/>
    <w:rsid w:val="00633C22"/>
    <w:rsid w:val="0064102C"/>
    <w:rsid w:val="00644EA1"/>
    <w:rsid w:val="006544AF"/>
    <w:rsid w:val="00664B52"/>
    <w:rsid w:val="00674EF5"/>
    <w:rsid w:val="00690D36"/>
    <w:rsid w:val="00693EB5"/>
    <w:rsid w:val="006A11FC"/>
    <w:rsid w:val="006A4721"/>
    <w:rsid w:val="006B4406"/>
    <w:rsid w:val="006C3667"/>
    <w:rsid w:val="006C494C"/>
    <w:rsid w:val="006D6FA9"/>
    <w:rsid w:val="006F426B"/>
    <w:rsid w:val="006F74D8"/>
    <w:rsid w:val="0070704C"/>
    <w:rsid w:val="0070792E"/>
    <w:rsid w:val="00712B79"/>
    <w:rsid w:val="007273E3"/>
    <w:rsid w:val="00727E55"/>
    <w:rsid w:val="007812B5"/>
    <w:rsid w:val="0078149C"/>
    <w:rsid w:val="00797EE0"/>
    <w:rsid w:val="007E5197"/>
    <w:rsid w:val="007F15FC"/>
    <w:rsid w:val="0081182B"/>
    <w:rsid w:val="008220C9"/>
    <w:rsid w:val="0082375B"/>
    <w:rsid w:val="00827507"/>
    <w:rsid w:val="00870DE4"/>
    <w:rsid w:val="00897D78"/>
    <w:rsid w:val="008B5483"/>
    <w:rsid w:val="008D171D"/>
    <w:rsid w:val="008E09B1"/>
    <w:rsid w:val="008E31CF"/>
    <w:rsid w:val="00922901"/>
    <w:rsid w:val="00926634"/>
    <w:rsid w:val="00933CC0"/>
    <w:rsid w:val="0094417E"/>
    <w:rsid w:val="009502AA"/>
    <w:rsid w:val="0098557B"/>
    <w:rsid w:val="009A3E72"/>
    <w:rsid w:val="009A748A"/>
    <w:rsid w:val="009C219E"/>
    <w:rsid w:val="009D1618"/>
    <w:rsid w:val="00A16058"/>
    <w:rsid w:val="00A179BF"/>
    <w:rsid w:val="00A409A2"/>
    <w:rsid w:val="00A43F9A"/>
    <w:rsid w:val="00A670ED"/>
    <w:rsid w:val="00A75612"/>
    <w:rsid w:val="00A820E8"/>
    <w:rsid w:val="00A972A4"/>
    <w:rsid w:val="00AB248B"/>
    <w:rsid w:val="00AC63B2"/>
    <w:rsid w:val="00AD783E"/>
    <w:rsid w:val="00AE072B"/>
    <w:rsid w:val="00AE0A06"/>
    <w:rsid w:val="00B26562"/>
    <w:rsid w:val="00B44374"/>
    <w:rsid w:val="00B44BC9"/>
    <w:rsid w:val="00B4615E"/>
    <w:rsid w:val="00B50AD4"/>
    <w:rsid w:val="00B5196F"/>
    <w:rsid w:val="00B6028A"/>
    <w:rsid w:val="00B622C8"/>
    <w:rsid w:val="00B722DB"/>
    <w:rsid w:val="00B76D95"/>
    <w:rsid w:val="00B773E4"/>
    <w:rsid w:val="00B8063E"/>
    <w:rsid w:val="00B85D30"/>
    <w:rsid w:val="00B9277A"/>
    <w:rsid w:val="00BA0364"/>
    <w:rsid w:val="00BA42CC"/>
    <w:rsid w:val="00BA5EF3"/>
    <w:rsid w:val="00BB0BA7"/>
    <w:rsid w:val="00BE2A86"/>
    <w:rsid w:val="00BE63DC"/>
    <w:rsid w:val="00BE766B"/>
    <w:rsid w:val="00BF16BA"/>
    <w:rsid w:val="00C00FC6"/>
    <w:rsid w:val="00C05FA2"/>
    <w:rsid w:val="00C51559"/>
    <w:rsid w:val="00C57464"/>
    <w:rsid w:val="00C66C8F"/>
    <w:rsid w:val="00C7028B"/>
    <w:rsid w:val="00CA344F"/>
    <w:rsid w:val="00CB0AA9"/>
    <w:rsid w:val="00CC6459"/>
    <w:rsid w:val="00CD3903"/>
    <w:rsid w:val="00CE019A"/>
    <w:rsid w:val="00D02676"/>
    <w:rsid w:val="00D1160A"/>
    <w:rsid w:val="00D25D51"/>
    <w:rsid w:val="00D32DE2"/>
    <w:rsid w:val="00D410B8"/>
    <w:rsid w:val="00D46165"/>
    <w:rsid w:val="00D53FBE"/>
    <w:rsid w:val="00D5457E"/>
    <w:rsid w:val="00D63C5A"/>
    <w:rsid w:val="00D753B4"/>
    <w:rsid w:val="00D91815"/>
    <w:rsid w:val="00DB1CD3"/>
    <w:rsid w:val="00DC0B25"/>
    <w:rsid w:val="00DD2867"/>
    <w:rsid w:val="00DD6024"/>
    <w:rsid w:val="00DE1AC0"/>
    <w:rsid w:val="00DE70BD"/>
    <w:rsid w:val="00E0323B"/>
    <w:rsid w:val="00E04BF2"/>
    <w:rsid w:val="00E12566"/>
    <w:rsid w:val="00E40B6B"/>
    <w:rsid w:val="00E4246F"/>
    <w:rsid w:val="00E76500"/>
    <w:rsid w:val="00EA2B0C"/>
    <w:rsid w:val="00EA6B4A"/>
    <w:rsid w:val="00EA75CD"/>
    <w:rsid w:val="00EB3165"/>
    <w:rsid w:val="00ED230E"/>
    <w:rsid w:val="00ED31A9"/>
    <w:rsid w:val="00EE07AF"/>
    <w:rsid w:val="00EF1B7A"/>
    <w:rsid w:val="00F04FEB"/>
    <w:rsid w:val="00F416E8"/>
    <w:rsid w:val="00F54E21"/>
    <w:rsid w:val="00F63966"/>
    <w:rsid w:val="00F676C3"/>
    <w:rsid w:val="00F8603C"/>
    <w:rsid w:val="00FB5AAB"/>
    <w:rsid w:val="00FC1EB7"/>
    <w:rsid w:val="00FF36F1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3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Guilherme Dietze</cp:lastModifiedBy>
  <cp:revision>66</cp:revision>
  <dcterms:created xsi:type="dcterms:W3CDTF">2025-02-19T18:55:00Z</dcterms:created>
  <dcterms:modified xsi:type="dcterms:W3CDTF">2026-01-12T14:11:00Z</dcterms:modified>
</cp:coreProperties>
</file>