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AF99D" w14:textId="77777777" w:rsidR="00460C69" w:rsidRDefault="00460C69" w:rsidP="00460C69">
      <w:pPr>
        <w:jc w:val="both"/>
        <w:rPr>
          <w:b/>
          <w:bCs/>
        </w:rPr>
      </w:pPr>
      <w:r w:rsidRPr="00460C69">
        <w:rPr>
          <w:b/>
          <w:bCs/>
        </w:rPr>
        <w:t>Assédio eleitoral em 2026: quando a omissão da empresa também se torna um risco</w:t>
      </w:r>
    </w:p>
    <w:p w14:paraId="31E71521" w14:textId="5FF9F359" w:rsidR="009A0F86" w:rsidRPr="00460C69" w:rsidRDefault="009A0F86" w:rsidP="00460C69">
      <w:pPr>
        <w:jc w:val="both"/>
        <w:rPr>
          <w:b/>
          <w:bCs/>
        </w:rPr>
      </w:pPr>
      <w:r>
        <w:rPr>
          <w:b/>
          <w:bCs/>
        </w:rPr>
        <w:t xml:space="preserve">Por Tatiana Rossini, sócia do Melo e Isaac Advogados, sub coordenadora da </w:t>
      </w:r>
      <w:proofErr w:type="spellStart"/>
      <w:r>
        <w:rPr>
          <w:b/>
          <w:bCs/>
        </w:rPr>
        <w:t>Ceat</w:t>
      </w:r>
      <w:proofErr w:type="spellEnd"/>
      <w:r>
        <w:rPr>
          <w:b/>
          <w:bCs/>
        </w:rPr>
        <w:t xml:space="preserve"> – Fecomércio</w:t>
      </w:r>
    </w:p>
    <w:p w14:paraId="0536D3B5" w14:textId="77777777" w:rsidR="00460C69" w:rsidRPr="00460C69" w:rsidRDefault="00460C69" w:rsidP="00460C69">
      <w:pPr>
        <w:jc w:val="both"/>
      </w:pPr>
      <w:r w:rsidRPr="00460C69">
        <w:t>Com a abertura do calendário eleitoral de 2026, o assédio eleitoral retorna à agenda das empresas brasileiras sob um novo patamar de risco. Se nos últimos pleitos a preocupação estava concentrada sobretudo na coação, ameaça ou promessa de vantagem destinada a influenciar o voto do trabalhador, a regulamentação deste ano amplia significativamente o dever de prevenção empresarial.</w:t>
      </w:r>
    </w:p>
    <w:p w14:paraId="236467CD" w14:textId="77777777" w:rsidR="00460C69" w:rsidRPr="00460C69" w:rsidRDefault="00460C69" w:rsidP="00460C69">
      <w:pPr>
        <w:jc w:val="both"/>
      </w:pPr>
      <w:r w:rsidRPr="00460C69">
        <w:t xml:space="preserve">A principal mudança está na Resolução TSE nº 23.755/2026, que incluiu o § 2º-A no artigo 19 da Resolução nº 23.610/2019. A nova regra estabelece expressamente que </w:t>
      </w:r>
      <w:r w:rsidRPr="00460C69">
        <w:rPr>
          <w:b/>
          <w:bCs/>
        </w:rPr>
        <w:t>“é vedada a propaganda eleitoral ou o assédio eleitoral em ambiente de trabalho público ou privado”</w:t>
      </w:r>
      <w:r w:rsidRPr="00460C69">
        <w:t xml:space="preserve">, atribuindo responsabilidade não apenas a quem der causa à conduta, mas também a quem permitir sua ocorrência. </w:t>
      </w:r>
    </w:p>
    <w:p w14:paraId="5DEEDAEB" w14:textId="77777777" w:rsidR="00460C69" w:rsidRPr="00460C69" w:rsidRDefault="00460C69" w:rsidP="00460C69">
      <w:pPr>
        <w:jc w:val="both"/>
      </w:pPr>
      <w:r w:rsidRPr="00460C69">
        <w:t>A alteração é relevante porque separa duas situações que muitas vezes eram tratadas conjuntamente: não é necessário que exista coação ao trabalhador para que a presença de propaganda eleitoral no ambiente de trabalho seja irregular. A empresa passa, portanto, a ter um dever mais claro de impedir que sua estrutura, seus espaços e seus canais institucionais sejam utilizados para finalidade político-eleitoral.</w:t>
      </w:r>
    </w:p>
    <w:p w14:paraId="2F515319" w14:textId="77777777" w:rsidR="00460C69" w:rsidRPr="00460C69" w:rsidRDefault="00460C69" w:rsidP="00460C69">
      <w:pPr>
        <w:jc w:val="both"/>
      </w:pPr>
      <w:r w:rsidRPr="00460C69">
        <w:t xml:space="preserve">Isso muda a perspectiva do </w:t>
      </w:r>
      <w:r w:rsidRPr="00460C69">
        <w:rPr>
          <w:i/>
          <w:iCs/>
        </w:rPr>
        <w:t>compliance</w:t>
      </w:r>
      <w:r w:rsidRPr="00460C69">
        <w:t xml:space="preserve">. O risco não está apenas na conduta do empresário que reúne empregados e pede votos, ameaça dispensas ou promete vantagens. Pode estar também na tolerância com cartazes, materiais de campanha ou outras formas de propaganda eleitoral no ambiente corporativo. A própria redação da norma alcança quem permite a ocorrência da conduta. </w:t>
      </w:r>
    </w:p>
    <w:p w14:paraId="5DEDA4DF" w14:textId="77777777" w:rsidR="00460C69" w:rsidRPr="00460C69" w:rsidRDefault="00460C69" w:rsidP="00460C69">
      <w:pPr>
        <w:jc w:val="both"/>
      </w:pPr>
      <w:r w:rsidRPr="00460C69">
        <w:t xml:space="preserve">Ao mesmo tempo, o enfrentamento institucional tornou-se mais coordenado. Em agosto, TSE, Justiça do Trabalho, Ministério Público Eleitoral e Ministério Público do Trabalho formalizaram cooperação para prevenção e resposta ao assédio eleitoral, dentro da mobilização </w:t>
      </w:r>
      <w:r w:rsidRPr="00460C69">
        <w:rPr>
          <w:b/>
          <w:bCs/>
        </w:rPr>
        <w:t>“No meu voto mando eu”</w:t>
      </w:r>
      <w:r w:rsidRPr="00460C69">
        <w:t xml:space="preserve">. Segundo o TSE, entre 2023 e 2026, a Justiça do Trabalho registrou 738 processos relacionados ao tema. </w:t>
      </w:r>
    </w:p>
    <w:p w14:paraId="00DAE119" w14:textId="77777777" w:rsidR="00460C69" w:rsidRPr="00460C69" w:rsidRDefault="00460C69" w:rsidP="00460C69">
      <w:pPr>
        <w:jc w:val="both"/>
      </w:pPr>
      <w:r w:rsidRPr="00460C69">
        <w:t>Para as empresas, a mensagem de 2026 é objetiva: neutralidade não significa restringir a liberdade política individual do trabalhador; significa impedir que o poder e a estrutura da organização sejam utilizados para interferir em sua escolha eleitoral.</w:t>
      </w:r>
    </w:p>
    <w:p w14:paraId="67FA26A4" w14:textId="77777777" w:rsidR="00460C69" w:rsidRPr="00460C69" w:rsidRDefault="00460C69" w:rsidP="00460C69">
      <w:pPr>
        <w:jc w:val="both"/>
      </w:pPr>
      <w:r w:rsidRPr="00460C69">
        <w:t xml:space="preserve">Por isso, a prevenção deve anteceder os conflitos. Códigos de Conduta e políticas internas precisam tratar expressamente do tema; lideranças devem ser orientadas; canais corporativos, murais e grupos institucionais precisam ter regras claras; e o </w:t>
      </w:r>
      <w:r w:rsidRPr="00460C69">
        <w:lastRenderedPageBreak/>
        <w:t>canal de denúncias deve estar preparado para receber e apurar relatos sem retaliação.</w:t>
      </w:r>
    </w:p>
    <w:p w14:paraId="02A94204" w14:textId="21B1CEB8" w:rsidR="00460C69" w:rsidRDefault="00460C69" w:rsidP="00460C69">
      <w:pPr>
        <w:jc w:val="both"/>
      </w:pPr>
      <w:r w:rsidRPr="00460C69">
        <w:t>Em 2026, não basta à empresa não praticar assédio eleitoral. É preciso criar condições para que e</w:t>
      </w:r>
      <w:r>
        <w:t>ste</w:t>
      </w:r>
      <w:r w:rsidRPr="00460C69">
        <w:t xml:space="preserve"> e a propaganda eleitoral não encontrem no ambiente de trabalho espaço para acontecer.</w:t>
      </w:r>
    </w:p>
    <w:p w14:paraId="61B20639" w14:textId="3ED8828E" w:rsidR="00460C69" w:rsidRPr="00460C69" w:rsidRDefault="00460C69" w:rsidP="00460C69">
      <w:pPr>
        <w:jc w:val="both"/>
      </w:pPr>
      <w:r>
        <w:t>Tatiana Rossini</w:t>
      </w:r>
    </w:p>
    <w:p w14:paraId="7D1E9717" w14:textId="77777777" w:rsidR="006F2840" w:rsidRPr="00460C69" w:rsidRDefault="006F2840" w:rsidP="00460C69">
      <w:pPr>
        <w:jc w:val="both"/>
      </w:pPr>
    </w:p>
    <w:p w14:paraId="6C8F59BE" w14:textId="77777777" w:rsidR="00460C69" w:rsidRDefault="00460C69">
      <w:pPr>
        <w:jc w:val="both"/>
      </w:pPr>
    </w:p>
    <w:sectPr w:rsidR="00460C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C69"/>
    <w:rsid w:val="00460C69"/>
    <w:rsid w:val="006F2840"/>
    <w:rsid w:val="009A0F86"/>
    <w:rsid w:val="00A06446"/>
    <w:rsid w:val="00A60B36"/>
    <w:rsid w:val="00F4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E3B0F"/>
  <w15:chartTrackingRefBased/>
  <w15:docId w15:val="{3F4A6805-1AE0-4623-9596-D541854C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60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60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60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60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60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60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60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60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60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60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60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60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60C6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60C6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60C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60C6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60C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60C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60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60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60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60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60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60C6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60C6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60C6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60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60C6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60C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452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Moreira</dc:creator>
  <cp:keywords/>
  <dc:description/>
  <cp:lastModifiedBy>Tatiana Moreira</cp:lastModifiedBy>
  <cp:revision>2</cp:revision>
  <dcterms:created xsi:type="dcterms:W3CDTF">2026-09-24T00:16:00Z</dcterms:created>
  <dcterms:modified xsi:type="dcterms:W3CDTF">2026-09-24T00:25:00Z</dcterms:modified>
</cp:coreProperties>
</file>